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2AB" w:rsidRPr="000052AB" w:rsidRDefault="000052AB" w:rsidP="000052A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2AB">
        <w:rPr>
          <w:rFonts w:ascii="Times New Roman" w:hAnsi="Times New Roman" w:cs="Times New Roman"/>
          <w:b/>
          <w:sz w:val="28"/>
          <w:szCs w:val="28"/>
        </w:rPr>
        <w:t>Искусственный интеллект в среднем профессиональном образовании: возможности, вызовы и пути интеграции</w:t>
      </w:r>
    </w:p>
    <w:p w:rsidR="005F038C" w:rsidRDefault="005F038C" w:rsidP="005F038C">
      <w:pPr>
        <w:spacing w:after="0" w:line="360" w:lineRule="auto"/>
        <w:ind w:left="411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66C78" w:rsidRDefault="000052AB" w:rsidP="005F038C">
      <w:pPr>
        <w:spacing w:after="0" w:line="360" w:lineRule="auto"/>
        <w:ind w:left="4111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052AB">
        <w:rPr>
          <w:rFonts w:ascii="Times New Roman" w:hAnsi="Times New Roman" w:cs="Times New Roman"/>
          <w:i/>
          <w:sz w:val="28"/>
          <w:szCs w:val="28"/>
        </w:rPr>
        <w:t>Шишанова</w:t>
      </w:r>
      <w:proofErr w:type="spellEnd"/>
      <w:r w:rsidRPr="000052AB">
        <w:rPr>
          <w:rFonts w:ascii="Times New Roman" w:hAnsi="Times New Roman" w:cs="Times New Roman"/>
          <w:i/>
          <w:sz w:val="28"/>
          <w:szCs w:val="28"/>
        </w:rPr>
        <w:t xml:space="preserve"> Татьяна Викторовна </w:t>
      </w:r>
    </w:p>
    <w:p w:rsidR="000052AB" w:rsidRDefault="000052AB" w:rsidP="00A66C78">
      <w:pPr>
        <w:spacing w:after="0" w:line="360" w:lineRule="auto"/>
        <w:ind w:left="411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52AB">
        <w:rPr>
          <w:rFonts w:ascii="Times New Roman" w:hAnsi="Times New Roman" w:cs="Times New Roman"/>
          <w:i/>
          <w:sz w:val="28"/>
          <w:szCs w:val="28"/>
        </w:rPr>
        <w:t>КГБ ПОУ Хабаровский технический колледж</w:t>
      </w:r>
    </w:p>
    <w:p w:rsidR="005F038C" w:rsidRPr="00A66C78" w:rsidRDefault="005F038C" w:rsidP="00A66C78">
      <w:pPr>
        <w:spacing w:after="0" w:line="360" w:lineRule="auto"/>
        <w:ind w:left="411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Трансформация среднего профессионального образования в эпоху ИИ: стратегии, риски и механизмы внедрения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 xml:space="preserve">Авторы: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Шишанова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 xml:space="preserve"> Татьяна Викторовна,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Дерябкина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 xml:space="preserve"> Екатерина Васильевна, преподаватели КГБ ПОУ «Хабаровский технический колледж»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Аннотация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 xml:space="preserve">На фоне глобальной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 xml:space="preserve"> искусственный интеллект (ИИ) выступает ключевым драйвером модернизации среднего профессионального образования (СПО). В данной работе исследуются основные векторы применения ИИ-технологий в системе СПО: от индивидуализации обучения и автоматизации рутины до моделирования профессиональных ситуаций и развития цифровой грамотности. Авторы анализируют этические, кадровые и инфраструктурные барьеры на пути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 xml:space="preserve">, а также предлагают дорожную карту ответственной и поэтапной интеграции интеллектуальных систем в образовательную среду учреждений среднего профессионального образования. Особое внимание уделяется междисциплинарному подходу, непрерывному развитию педагогов и обеспечению цифровой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инклюзивности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>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Введение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 xml:space="preserve">Современная система среднего профессионального образования находится в точке бифуркации, определяемой запросами динамичного рынка труда, социальными ожиданиями и стремительным развитием технологий. Искусственный интеллект перестал быть узкопрофильной компетенцией IT-специалистов и превратился в универсальный катализатор изменений, способный трансформировать содержание, форматы и организацию учебного процесса. Цель данной работы – оценить потенциал ИИ в контексте СПО, </w:t>
      </w:r>
      <w:r w:rsidRPr="005F038C">
        <w:rPr>
          <w:rFonts w:ascii="Times New Roman" w:hAnsi="Times New Roman" w:cs="Times New Roman"/>
          <w:sz w:val="28"/>
          <w:szCs w:val="28"/>
        </w:rPr>
        <w:lastRenderedPageBreak/>
        <w:t>выявить системные барьеры его внедрения и сформулировать стратегию его интеграции, отвечающую современным стандартам качества и доступности образования.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1. Ключевые векторы применения ИИ в системе СПО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Интеллектуальные технологии открывают перед системой СПО четыре основных направления развития: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1.1. Индивидуализация образовательных траекторий.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 xml:space="preserve">Адаптивные образовательные платформы (например,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Яндекс.Учебник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 xml:space="preserve">, решения в рамках «Цифровой образователь среды») способны анализировать паттерны </w:t>
      </w:r>
      <w:proofErr w:type="gramStart"/>
      <w:r w:rsidRPr="005F038C">
        <w:rPr>
          <w:rFonts w:ascii="Times New Roman" w:hAnsi="Times New Roman" w:cs="Times New Roman"/>
          <w:sz w:val="28"/>
          <w:szCs w:val="28"/>
        </w:rPr>
        <w:t>ошибок</w:t>
      </w:r>
      <w:proofErr w:type="gramEnd"/>
      <w:r w:rsidRPr="005F038C">
        <w:rPr>
          <w:rFonts w:ascii="Times New Roman" w:hAnsi="Times New Roman" w:cs="Times New Roman"/>
          <w:sz w:val="28"/>
          <w:szCs w:val="28"/>
        </w:rPr>
        <w:t xml:space="preserve"> обучающихся и динамически подстраивать контент под их темп и стиль усвоения материала. Для СПО, где контингент студентов часто характеризуется значительным разбросом в уровне базовой подготовки, такой подход критически важен для удержания мотивации и повышения успеваемости.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1.2. Оптимизация админи</w:t>
      </w:r>
      <w:bookmarkStart w:id="0" w:name="_GoBack"/>
      <w:bookmarkEnd w:id="0"/>
      <w:r w:rsidRPr="005F038C">
        <w:rPr>
          <w:rFonts w:ascii="Times New Roman" w:hAnsi="Times New Roman" w:cs="Times New Roman"/>
          <w:sz w:val="28"/>
          <w:szCs w:val="28"/>
        </w:rPr>
        <w:t>стративных и рутинных процессов.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Внедрение интеллектуальных чат-ботов для консультирования абитуриентов и студентов, автоматизированных систем проверки тестовых заданий и анализа текстовых работ, а также инструментов прогнозирования посещаемости позволяет существенно разгрузить преподавателей. Высвобожденный ресурс времени может быть перенаправлен на наставничество, воспитательную работу и творческое развитие студентов.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1.3. Моделирование профессиональной деятельности.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 xml:space="preserve">В прикладных специальностях ИИ выступает основой для создания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иммерсивных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 xml:space="preserve"> тренажеров: виртуальные симуляторы для сварщиков, цифровые двойники пациентов для медсестер, интеллектуальные ассистенты для бухгалтеров. Это обеспечивает безопасную и многократную отработку практических навыков в условиях, максимально приближенных к реальным производственным.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1.4. Формирование алгоритмической и цифровой грамотности.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 xml:space="preserve">Понимание принципов работы с данными и алгоритмами становится базовой компетенцией для представителей любых профессий – от поваров до </w:t>
      </w:r>
      <w:r w:rsidRPr="005F038C">
        <w:rPr>
          <w:rFonts w:ascii="Times New Roman" w:hAnsi="Times New Roman" w:cs="Times New Roman"/>
          <w:sz w:val="28"/>
          <w:szCs w:val="28"/>
        </w:rPr>
        <w:lastRenderedPageBreak/>
        <w:t>логистов. Интеграция основ ИИ-грамотности в общепрофессиональные дисциплины формирует у будущих специалистов ответственное «цифровое гражданство» и установку на непрерывное обучение (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lifelong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>).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2. Системные вызовы и зоны риска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 xml:space="preserve">Несмотря на очевидные преимущества, процесс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 xml:space="preserve"> СПО сталкивается с рядом существенных препятствий: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Этические дилеммы: риски, связанные с обработкой персональных данных, «черным ящиком» алгоритмов и потенциальным усилением цифрового неравенства между регионами и учреждениями.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Кадровый и методический дефицит: недостаточный уровень цифровой компетентности части педагогического состава и острый недостаток адаптированных учебно-методических комплексов.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Инфраструктурные ограничения: высокая стоимость внедрения и нехватка аппаратно-программных мощностей в ряде образовательных организаций.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Фрагментарность подходов: использование ИИ как изолированного «модного» инструмента без увязки с общей стратегией развития колледжа или техникума.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3. Дорожная карта ответственной интеграции ИИ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Опираясь на отечественный опыт (включая аналитику проектов «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Единыйурок.рф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>») и международные рекомендации (UNESCO, OECD), предлагается следующий алгоритм действий: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Нормативное регулирование: Разработка и принятие локальных этических хартий использования ИИ, созданных совместно с участием администрации, педагогов, студентов и их родителей.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Непрерывное развитие кадров: Внедрение модульных программ повышения квалификации, фокусирующихся на основах ИИ, цифровой педагогике и практической работе с адаптивными платформами.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 xml:space="preserve">Междисциплинарное проектирование: Формирование рабочих групп, объединяющих педагогов-предметников, IT-специалистов, психологов и </w:t>
      </w:r>
      <w:r w:rsidRPr="005F038C">
        <w:rPr>
          <w:rFonts w:ascii="Times New Roman" w:hAnsi="Times New Roman" w:cs="Times New Roman"/>
          <w:sz w:val="28"/>
          <w:szCs w:val="28"/>
        </w:rPr>
        <w:lastRenderedPageBreak/>
        <w:t>методистов для разработки решений, ориентированных на реальные педагогические задачи.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Поэтапный пилотный запуск: Начало интеграции с локальных проектов (например, чат-бот для адаптации первокурсников или VR-тренажер по охране труда) с обязательной оценкой эффективности и последующим масштабированием успешных кейсов.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 xml:space="preserve">Гарантия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инклюзивности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>: Обеспечение доступности интерфейсов и контента ИИ-инструментов для обучающихся с ограниченными возможностями здоровья (ОВЗ) и представителей социально уязвимых групп.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Заключение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 xml:space="preserve">Искусственный интеллект в среднем профессиональном образовании – это не просто набор новых технологий, а фундаментальный катализатор системных изменений. Его успешная интеграция требует не только финансовой и технической готовности, но и глубокой педагогической рефлексии. Будущее СПО заключается не в замене преподавателя алгоритмом, а в создании синергии, где профессиональное мастерство педагога многократно усиливается возможностями интеллектуальных систем, что в итоге ведет к подготовке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высококонкурентных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 xml:space="preserve"> специалистов для цифровой экономики.</w:t>
      </w:r>
    </w:p>
    <w:p w:rsidR="005F038C" w:rsidRPr="005F038C" w:rsidRDefault="005F038C" w:rsidP="005F03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F038C">
        <w:rPr>
          <w:rFonts w:ascii="Times New Roman" w:hAnsi="Times New Roman" w:cs="Times New Roman"/>
          <w:sz w:val="28"/>
          <w:szCs w:val="28"/>
        </w:rPr>
        <w:t>Список</w:t>
      </w:r>
      <w:r w:rsidRPr="005F03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F038C">
        <w:rPr>
          <w:rFonts w:ascii="Times New Roman" w:hAnsi="Times New Roman" w:cs="Times New Roman"/>
          <w:sz w:val="28"/>
          <w:szCs w:val="28"/>
        </w:rPr>
        <w:t>литературы</w:t>
      </w:r>
      <w:r w:rsidRPr="005F038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5F038C" w:rsidRPr="005F038C" w:rsidRDefault="005F038C" w:rsidP="005F038C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  <w:lang w:val="en-US"/>
        </w:rPr>
        <w:t xml:space="preserve">UNESCO. (2021). AI and Education: Guidance for Policy-makers.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Paris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 xml:space="preserve">: UNESCO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Publishing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>.</w:t>
      </w:r>
    </w:p>
    <w:p w:rsidR="005F038C" w:rsidRPr="005F038C" w:rsidRDefault="005F038C" w:rsidP="005F038C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среднего профессионального образования (с изменениями и дополнениями 2023 г.).</w:t>
      </w:r>
    </w:p>
    <w:p w:rsidR="005F038C" w:rsidRPr="005F038C" w:rsidRDefault="005F038C" w:rsidP="005F038C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Аналитический отчет «Цифровая зрелость образовательных организаций СПО» / Портал «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Единыйурок.рф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>», 2024.</w:t>
      </w:r>
    </w:p>
    <w:p w:rsidR="005F038C" w:rsidRPr="005F038C" w:rsidRDefault="005F038C" w:rsidP="005F038C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</w:rPr>
        <w:t>Панов, А.И. (2023). Искусственный интеллект в образовании: от мифов к практике. Педагогика, №5, с. 12–20.</w:t>
      </w:r>
    </w:p>
    <w:p w:rsidR="0063140B" w:rsidRPr="005F038C" w:rsidRDefault="005F038C" w:rsidP="005F038C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8C">
        <w:rPr>
          <w:rFonts w:ascii="Times New Roman" w:hAnsi="Times New Roman" w:cs="Times New Roman"/>
          <w:sz w:val="28"/>
          <w:szCs w:val="28"/>
          <w:lang w:val="en-US"/>
        </w:rPr>
        <w:t xml:space="preserve">European Commission. (2022). Ethics Guidelines for Trustworthy AI in Education. </w:t>
      </w:r>
      <w:proofErr w:type="spellStart"/>
      <w:r w:rsidRPr="005F038C">
        <w:rPr>
          <w:rFonts w:ascii="Times New Roman" w:hAnsi="Times New Roman" w:cs="Times New Roman"/>
          <w:sz w:val="28"/>
          <w:szCs w:val="28"/>
        </w:rPr>
        <w:t>Brussels</w:t>
      </w:r>
      <w:proofErr w:type="spellEnd"/>
      <w:r w:rsidRPr="005F038C">
        <w:rPr>
          <w:rFonts w:ascii="Times New Roman" w:hAnsi="Times New Roman" w:cs="Times New Roman"/>
          <w:sz w:val="28"/>
          <w:szCs w:val="28"/>
        </w:rPr>
        <w:t>.</w:t>
      </w:r>
    </w:p>
    <w:sectPr w:rsidR="0063140B" w:rsidRPr="005F038C" w:rsidSect="000052A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43191"/>
    <w:multiLevelType w:val="hybridMultilevel"/>
    <w:tmpl w:val="7C3686D2"/>
    <w:lvl w:ilvl="0" w:tplc="0419000F">
      <w:start w:val="1"/>
      <w:numFmt w:val="decimal"/>
      <w:lvlText w:val="%1."/>
      <w:lvlJc w:val="left"/>
      <w:pPr>
        <w:ind w:left="2913" w:hanging="360"/>
      </w:pPr>
    </w:lvl>
    <w:lvl w:ilvl="1" w:tplc="04190019" w:tentative="1">
      <w:start w:val="1"/>
      <w:numFmt w:val="lowerLetter"/>
      <w:lvlText w:val="%2."/>
      <w:lvlJc w:val="left"/>
      <w:pPr>
        <w:ind w:left="3633" w:hanging="360"/>
      </w:pPr>
    </w:lvl>
    <w:lvl w:ilvl="2" w:tplc="0419001B" w:tentative="1">
      <w:start w:val="1"/>
      <w:numFmt w:val="lowerRoman"/>
      <w:lvlText w:val="%3."/>
      <w:lvlJc w:val="right"/>
      <w:pPr>
        <w:ind w:left="4353" w:hanging="180"/>
      </w:pPr>
    </w:lvl>
    <w:lvl w:ilvl="3" w:tplc="0419000F" w:tentative="1">
      <w:start w:val="1"/>
      <w:numFmt w:val="decimal"/>
      <w:lvlText w:val="%4."/>
      <w:lvlJc w:val="left"/>
      <w:pPr>
        <w:ind w:left="5073" w:hanging="360"/>
      </w:pPr>
    </w:lvl>
    <w:lvl w:ilvl="4" w:tplc="04190019" w:tentative="1">
      <w:start w:val="1"/>
      <w:numFmt w:val="lowerLetter"/>
      <w:lvlText w:val="%5."/>
      <w:lvlJc w:val="left"/>
      <w:pPr>
        <w:ind w:left="5793" w:hanging="360"/>
      </w:pPr>
    </w:lvl>
    <w:lvl w:ilvl="5" w:tplc="0419001B" w:tentative="1">
      <w:start w:val="1"/>
      <w:numFmt w:val="lowerRoman"/>
      <w:lvlText w:val="%6."/>
      <w:lvlJc w:val="right"/>
      <w:pPr>
        <w:ind w:left="6513" w:hanging="180"/>
      </w:pPr>
    </w:lvl>
    <w:lvl w:ilvl="6" w:tplc="0419000F" w:tentative="1">
      <w:start w:val="1"/>
      <w:numFmt w:val="decimal"/>
      <w:lvlText w:val="%7."/>
      <w:lvlJc w:val="left"/>
      <w:pPr>
        <w:ind w:left="7233" w:hanging="360"/>
      </w:pPr>
    </w:lvl>
    <w:lvl w:ilvl="7" w:tplc="04190019" w:tentative="1">
      <w:start w:val="1"/>
      <w:numFmt w:val="lowerLetter"/>
      <w:lvlText w:val="%8."/>
      <w:lvlJc w:val="left"/>
      <w:pPr>
        <w:ind w:left="7953" w:hanging="360"/>
      </w:pPr>
    </w:lvl>
    <w:lvl w:ilvl="8" w:tplc="0419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1" w15:restartNumberingAfterBreak="0">
    <w:nsid w:val="452A26C2"/>
    <w:multiLevelType w:val="hybridMultilevel"/>
    <w:tmpl w:val="167A85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0154B97"/>
    <w:multiLevelType w:val="hybridMultilevel"/>
    <w:tmpl w:val="F676D11E"/>
    <w:lvl w:ilvl="0" w:tplc="AC1C5D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2AB"/>
    <w:rsid w:val="000052AB"/>
    <w:rsid w:val="003C7DD5"/>
    <w:rsid w:val="0043376A"/>
    <w:rsid w:val="005F038C"/>
    <w:rsid w:val="00715A6B"/>
    <w:rsid w:val="007877A0"/>
    <w:rsid w:val="009B4218"/>
    <w:rsid w:val="00A6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585A2"/>
  <w15:chartTrackingRefBased/>
  <w15:docId w15:val="{38FD2B76-DC68-4E93-A226-F827C59D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2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8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6774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74370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9356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73129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10454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2</cp:revision>
  <dcterms:created xsi:type="dcterms:W3CDTF">2026-06-11T01:29:00Z</dcterms:created>
  <dcterms:modified xsi:type="dcterms:W3CDTF">2026-06-11T01:29:00Z</dcterms:modified>
</cp:coreProperties>
</file>